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B073" w14:textId="231E4081" w:rsidR="000175CD" w:rsidRDefault="000175CD">
      <w:r>
        <w:t>TOP 5 INSIGHTS – June 23</w:t>
      </w:r>
    </w:p>
    <w:p w14:paraId="644545B7" w14:textId="77777777" w:rsidR="000175CD" w:rsidRDefault="000175CD"/>
    <w:p w14:paraId="7F11B86D" w14:textId="77777777" w:rsidR="000175CD" w:rsidRPr="000175CD" w:rsidRDefault="000175CD" w:rsidP="000175CD">
      <w:pPr>
        <w:rPr>
          <w:b/>
          <w:bCs/>
        </w:rPr>
      </w:pPr>
      <w:r w:rsidRPr="000175CD">
        <w:rPr>
          <w:b/>
          <w:bCs/>
        </w:rPr>
        <w:t>1. Iran Oil Waiver Reshapes Market Outlook</w:t>
      </w:r>
    </w:p>
    <w:p w14:paraId="65DD3969" w14:textId="77777777" w:rsidR="000175CD" w:rsidRPr="000175CD" w:rsidRDefault="000175CD" w:rsidP="000175CD">
      <w:r w:rsidRPr="000175CD">
        <w:t>The U.S. decision to grant Iran a 60-day sanctions waiver and allow dollar-based oil sales has significantly eased supply concerns. Markets interpreted the move as a major concession, with expectations that Iran will maximize exports and release stored barrels, reinforcing downward pressure on oil prices.</w:t>
      </w:r>
    </w:p>
    <w:p w14:paraId="72F06F3F" w14:textId="77777777" w:rsidR="000175CD" w:rsidRPr="000175CD" w:rsidRDefault="000175CD" w:rsidP="000175CD">
      <w:pPr>
        <w:rPr>
          <w:b/>
          <w:bCs/>
        </w:rPr>
      </w:pPr>
      <w:r w:rsidRPr="000175CD">
        <w:rPr>
          <w:b/>
          <w:bCs/>
        </w:rPr>
        <w:t>2. Oil Market Volatility Far From Over</w:t>
      </w:r>
    </w:p>
    <w:p w14:paraId="0CE8B8A1" w14:textId="77777777" w:rsidR="000175CD" w:rsidRPr="000175CD" w:rsidRDefault="000175CD" w:rsidP="000175CD">
      <w:r w:rsidRPr="000175CD">
        <w:t>Despite the post-deal decline in crude prices, traders remain cautious. Markets continue to react strongly to geopolitical headlines, while unresolved risks surrounding Middle East stability, shipping flows through Hormuz, and potential policy shifts mean volatility could quickly return despite the current calm.</w:t>
      </w:r>
    </w:p>
    <w:p w14:paraId="624358D7" w14:textId="77777777" w:rsidR="000175CD" w:rsidRPr="000175CD" w:rsidRDefault="000175CD" w:rsidP="000175CD">
      <w:pPr>
        <w:rPr>
          <w:b/>
          <w:bCs/>
        </w:rPr>
      </w:pPr>
      <w:r w:rsidRPr="000175CD">
        <w:rPr>
          <w:b/>
          <w:bCs/>
        </w:rPr>
        <w:t>3. Growing Case For Lower Crude Prices</w:t>
      </w:r>
    </w:p>
    <w:p w14:paraId="4CB41170" w14:textId="5D685789" w:rsidR="000175CD" w:rsidRPr="000175CD" w:rsidRDefault="000175CD" w:rsidP="000175CD">
      <w:r w:rsidRPr="000175CD">
        <w:t xml:space="preserve">A combination of expanding global supply, weakening commodity markets, softer Chinese demand, and political pressure to curb inflation is strengthening the bearish outlook for oil. </w:t>
      </w:r>
      <w:r>
        <w:t xml:space="preserve">It appears that </w:t>
      </w:r>
      <w:r w:rsidRPr="000175CD">
        <w:t>current market conditions resemble previous commodity cycles where oversupply eventually pushed prices significantly below production costs.</w:t>
      </w:r>
    </w:p>
    <w:p w14:paraId="06D0ECD0" w14:textId="77777777" w:rsidR="000175CD" w:rsidRPr="000175CD" w:rsidRDefault="000175CD" w:rsidP="000175CD">
      <w:pPr>
        <w:rPr>
          <w:b/>
          <w:bCs/>
        </w:rPr>
      </w:pPr>
      <w:r w:rsidRPr="000175CD">
        <w:rPr>
          <w:b/>
          <w:bCs/>
        </w:rPr>
        <w:t>4. Russia-Ukraine Risks Return To Focus</w:t>
      </w:r>
    </w:p>
    <w:p w14:paraId="18198F6D" w14:textId="77777777" w:rsidR="000175CD" w:rsidRPr="000175CD" w:rsidRDefault="000175CD" w:rsidP="000175CD">
      <w:r w:rsidRPr="000175CD">
        <w:t>As attention shifts away from the Strait of Hormuz, escalating Ukrainian attacks on Russian energy infrastructure are re-emerging as a key market risk. Disruptions to Russian production or exports could tighten supply balances and partly offset the bearish impact of additional Iranian barrels.</w:t>
      </w:r>
    </w:p>
    <w:p w14:paraId="27A0145A" w14:textId="77777777" w:rsidR="000175CD" w:rsidRPr="000175CD" w:rsidRDefault="000175CD" w:rsidP="000175CD">
      <w:pPr>
        <w:rPr>
          <w:b/>
          <w:bCs/>
        </w:rPr>
      </w:pPr>
      <w:r w:rsidRPr="000175CD">
        <w:rPr>
          <w:b/>
          <w:bCs/>
        </w:rPr>
        <w:t>5. Asia Accelerates Energy Diversification</w:t>
      </w:r>
    </w:p>
    <w:p w14:paraId="43398CAC" w14:textId="77777777" w:rsidR="000175CD" w:rsidRPr="000175CD" w:rsidRDefault="000175CD" w:rsidP="000175CD">
      <w:r w:rsidRPr="000175CD">
        <w:t>Recent energy market disruptions exposed the vulnerability of many Asian economies to supply shocks. The experience is expected to accelerate investments in electrification, renewable energy, and diversified import sources, reducing dependence on a limited group of fossil fuel suppliers over the long term.</w:t>
      </w:r>
    </w:p>
    <w:p w14:paraId="515DBDD1" w14:textId="77777777" w:rsidR="000175CD" w:rsidRDefault="000175CD"/>
    <w:sectPr w:rsidR="000175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CD"/>
    <w:rsid w:val="000175CD"/>
    <w:rsid w:val="00E91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B2A3"/>
  <w15:chartTrackingRefBased/>
  <w15:docId w15:val="{967CC52B-303C-4DB8-A1D1-D5E222ED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5CD"/>
    <w:rPr>
      <w:rFonts w:eastAsiaTheme="majorEastAsia" w:cstheme="majorBidi"/>
      <w:color w:val="272727" w:themeColor="text1" w:themeTint="D8"/>
    </w:rPr>
  </w:style>
  <w:style w:type="paragraph" w:styleId="Title">
    <w:name w:val="Title"/>
    <w:basedOn w:val="Normal"/>
    <w:next w:val="Normal"/>
    <w:link w:val="TitleChar"/>
    <w:uiPriority w:val="10"/>
    <w:qFormat/>
    <w:rsid w:val="00017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5CD"/>
    <w:pPr>
      <w:spacing w:before="160"/>
      <w:jc w:val="center"/>
    </w:pPr>
    <w:rPr>
      <w:i/>
      <w:iCs/>
      <w:color w:val="404040" w:themeColor="text1" w:themeTint="BF"/>
    </w:rPr>
  </w:style>
  <w:style w:type="character" w:customStyle="1" w:styleId="QuoteChar">
    <w:name w:val="Quote Char"/>
    <w:basedOn w:val="DefaultParagraphFont"/>
    <w:link w:val="Quote"/>
    <w:uiPriority w:val="29"/>
    <w:rsid w:val="000175CD"/>
    <w:rPr>
      <w:i/>
      <w:iCs/>
      <w:color w:val="404040" w:themeColor="text1" w:themeTint="BF"/>
    </w:rPr>
  </w:style>
  <w:style w:type="paragraph" w:styleId="ListParagraph">
    <w:name w:val="List Paragraph"/>
    <w:basedOn w:val="Normal"/>
    <w:uiPriority w:val="34"/>
    <w:qFormat/>
    <w:rsid w:val="000175CD"/>
    <w:pPr>
      <w:ind w:left="720"/>
      <w:contextualSpacing/>
    </w:pPr>
  </w:style>
  <w:style w:type="character" w:styleId="IntenseEmphasis">
    <w:name w:val="Intense Emphasis"/>
    <w:basedOn w:val="DefaultParagraphFont"/>
    <w:uiPriority w:val="21"/>
    <w:qFormat/>
    <w:rsid w:val="000175CD"/>
    <w:rPr>
      <w:i/>
      <w:iCs/>
      <w:color w:val="0F4761" w:themeColor="accent1" w:themeShade="BF"/>
    </w:rPr>
  </w:style>
  <w:style w:type="paragraph" w:styleId="IntenseQuote">
    <w:name w:val="Intense Quote"/>
    <w:basedOn w:val="Normal"/>
    <w:next w:val="Normal"/>
    <w:link w:val="IntenseQuoteChar"/>
    <w:uiPriority w:val="30"/>
    <w:qFormat/>
    <w:rsid w:val="00017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5CD"/>
    <w:rPr>
      <w:i/>
      <w:iCs/>
      <w:color w:val="0F4761" w:themeColor="accent1" w:themeShade="BF"/>
    </w:rPr>
  </w:style>
  <w:style w:type="character" w:styleId="IntenseReference">
    <w:name w:val="Intense Reference"/>
    <w:basedOn w:val="DefaultParagraphFont"/>
    <w:uiPriority w:val="32"/>
    <w:qFormat/>
    <w:rsid w:val="000175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Office Pack2</dc:creator>
  <cp:keywords/>
  <dc:description/>
  <cp:lastModifiedBy>MS Office Pack2</cp:lastModifiedBy>
  <cp:revision>1</cp:revision>
  <dcterms:created xsi:type="dcterms:W3CDTF">2026-06-23T07:33:00Z</dcterms:created>
  <dcterms:modified xsi:type="dcterms:W3CDTF">2026-06-23T07:35:00Z</dcterms:modified>
</cp:coreProperties>
</file>